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</w:t>
      </w:r>
      <w:r w:rsidRPr="00FD11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расходов </w:t>
      </w:r>
      <w:r w:rsidR="00FD1156" w:rsidRPr="00FD11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Коломыцевского</w:t>
      </w:r>
      <w:r w:rsidRPr="00FD11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Pr="00D927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района за 202</w:t>
      </w:r>
      <w:r w:rsidR="00533E12">
        <w:rPr>
          <w:rFonts w:ascii="Times New Roman" w:hAnsi="Times New Roman" w:cs="Times New Roman"/>
          <w:b/>
          <w:sz w:val="28"/>
          <w:szCs w:val="28"/>
        </w:rPr>
        <w:t>1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085627" w:rsidRPr="00865E83" w:rsidRDefault="00F16E8D" w:rsidP="00085627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085627">
        <w:rPr>
          <w:color w:val="000000" w:themeColor="text1"/>
        </w:rPr>
        <w:t xml:space="preserve">, </w:t>
      </w:r>
      <w:r w:rsidR="00085627" w:rsidRPr="00865E83">
        <w:rPr>
          <w:color w:val="auto"/>
        </w:rPr>
        <w:t>постановления администрации Коломыцевского сельского поселения муниципального района «Красногвардейский район» от 20 марта 2023 года «Об утверждении Порядка формирования перечня налоговых расходов Коломыцевского сельского поселения муниципального района «Красногвардейский район» Белгородской области и оценки налоговых расходов Коломыцевского сельского поселения муниципального района «Красногвардейский район» Белгородской области.</w:t>
      </w:r>
    </w:p>
    <w:p w:rsidR="00C11354" w:rsidRPr="000F6C9C" w:rsidRDefault="00085627" w:rsidP="00085627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0F6C9C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</w:t>
      </w:r>
      <w:r w:rsidRPr="00FD1156">
        <w:rPr>
          <w:color w:val="000000" w:themeColor="text1"/>
        </w:rPr>
        <w:t xml:space="preserve">бюджета </w:t>
      </w:r>
      <w:r w:rsidR="00FD1156" w:rsidRPr="00FD1156">
        <w:rPr>
          <w:color w:val="000000" w:themeColor="text1"/>
        </w:rPr>
        <w:t>Коломыцевского</w:t>
      </w:r>
      <w:r w:rsidR="00D92772" w:rsidRPr="00FD1156">
        <w:rPr>
          <w:color w:val="000000" w:themeColor="text1"/>
        </w:rPr>
        <w:t xml:space="preserve"> сельского поселения</w:t>
      </w:r>
      <w:r w:rsidRPr="000F6C9C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FD1156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вой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Pr="000F6C9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виды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ых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FD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FD1156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FD115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FD115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ри</w:t>
      </w:r>
      <w:r w:rsidRPr="00FD115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FD115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FD115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FD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="00FD1156"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>Коломыцевского</w:t>
      </w:r>
      <w:r w:rsidR="00D92772"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FD1156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 с</w:t>
      </w:r>
      <w:r w:rsidRPr="00FD115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FD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</w:t>
      </w:r>
      <w:r w:rsidRPr="00FD1156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FD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FD115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FD1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="00FD1156" w:rsidRPr="00FD1156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е и </w:t>
      </w:r>
      <w:r w:rsidRPr="00FD1156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 технические</w:t>
      </w:r>
      <w:r w:rsidR="00FD1156" w:rsidRPr="00FD1156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.</w:t>
      </w:r>
    </w:p>
    <w:p w:rsidR="00DD2469" w:rsidRPr="00FD1156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pacing w:val="-1"/>
        </w:rPr>
      </w:pPr>
      <w:r w:rsidRPr="00FD1156">
        <w:rPr>
          <w:color w:val="000000" w:themeColor="text1"/>
        </w:rPr>
        <w:t>В 20</w:t>
      </w:r>
      <w:r w:rsidR="00533E12">
        <w:rPr>
          <w:color w:val="000000" w:themeColor="text1"/>
        </w:rPr>
        <w:t>21</w:t>
      </w:r>
      <w:r w:rsidRPr="00FD1156">
        <w:rPr>
          <w:color w:val="000000" w:themeColor="text1"/>
        </w:rPr>
        <w:t xml:space="preserve"> году на территории </w:t>
      </w:r>
      <w:r w:rsidR="00FD1156" w:rsidRPr="00FD1156">
        <w:rPr>
          <w:color w:val="000000" w:themeColor="text1"/>
        </w:rPr>
        <w:t>Коломыцевского</w:t>
      </w:r>
      <w:r w:rsidR="005D36AC" w:rsidRPr="00FD1156">
        <w:rPr>
          <w:color w:val="000000" w:themeColor="text1"/>
        </w:rPr>
        <w:t xml:space="preserve"> сельского поселения</w:t>
      </w:r>
      <w:r w:rsidRPr="00FD1156">
        <w:rPr>
          <w:color w:val="000000" w:themeColor="text1"/>
          <w:spacing w:val="-1"/>
        </w:rPr>
        <w:t xml:space="preserve"> предоставлялись следующие льготы:</w:t>
      </w:r>
    </w:p>
    <w:p w:rsidR="009F11CF" w:rsidRPr="00FD1156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  <w:spacing w:val="-1"/>
        </w:rPr>
      </w:pPr>
    </w:p>
    <w:p w:rsidR="009E174B" w:rsidRPr="00FD1156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  <w:spacing w:val="-1"/>
        </w:rPr>
      </w:pPr>
      <w:r w:rsidRPr="00FD1156">
        <w:rPr>
          <w:b/>
          <w:color w:val="000000" w:themeColor="text1"/>
          <w:spacing w:val="-1"/>
        </w:rPr>
        <w:t>П</w:t>
      </w:r>
      <w:r w:rsidR="00190A99" w:rsidRPr="00FD1156">
        <w:rPr>
          <w:b/>
          <w:color w:val="000000" w:themeColor="text1"/>
          <w:spacing w:val="-1"/>
        </w:rPr>
        <w:t>о земельному налогу.</w:t>
      </w:r>
    </w:p>
    <w:p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FD1156">
        <w:rPr>
          <w:color w:val="000000" w:themeColor="text1"/>
          <w:szCs w:val="24"/>
        </w:rPr>
        <w:t xml:space="preserve">Решением земского собрания </w:t>
      </w:r>
      <w:r w:rsidR="00FD1156" w:rsidRPr="00FD1156">
        <w:rPr>
          <w:color w:val="000000" w:themeColor="text1"/>
        </w:rPr>
        <w:t>Коломыцевского</w:t>
      </w:r>
      <w:r w:rsidRPr="00FD1156">
        <w:rPr>
          <w:color w:val="000000" w:themeColor="text1"/>
          <w:szCs w:val="24"/>
        </w:rPr>
        <w:t xml:space="preserve"> сельс</w:t>
      </w:r>
      <w:r w:rsidR="00FD1156" w:rsidRPr="00FD1156">
        <w:rPr>
          <w:color w:val="000000" w:themeColor="text1"/>
          <w:szCs w:val="24"/>
        </w:rPr>
        <w:t>кого поселения от 08.11.2019 № 1</w:t>
      </w:r>
      <w:r w:rsidRPr="00FD1156">
        <w:rPr>
          <w:color w:val="000000" w:themeColor="text1"/>
          <w:szCs w:val="24"/>
        </w:rPr>
        <w:t xml:space="preserve"> "Об установлении на территории </w:t>
      </w:r>
      <w:r w:rsidR="00FD1156" w:rsidRPr="00FD1156">
        <w:rPr>
          <w:color w:val="000000" w:themeColor="text1"/>
        </w:rPr>
        <w:t>Коломыцевского</w:t>
      </w:r>
      <w:r w:rsidRPr="00FD1156">
        <w:rPr>
          <w:color w:val="000000" w:themeColor="text1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FD1156">
        <w:rPr>
          <w:color w:val="000000" w:themeColor="text1"/>
          <w:sz w:val="32"/>
        </w:rPr>
        <w:t xml:space="preserve"> </w:t>
      </w:r>
      <w:r w:rsidR="004D23AF" w:rsidRPr="00FD1156">
        <w:rPr>
          <w:color w:val="000000" w:themeColor="text1"/>
        </w:rPr>
        <w:t>(далее – решение о земельном налоге)</w:t>
      </w:r>
      <w:r w:rsidR="00D7442A" w:rsidRPr="00FD1156">
        <w:rPr>
          <w:color w:val="000000" w:themeColor="text1"/>
        </w:rPr>
        <w:t xml:space="preserve"> налоговые</w:t>
      </w:r>
      <w:r w:rsidR="00D7442A" w:rsidRPr="000F6C9C">
        <w:rPr>
          <w:color w:val="000000" w:themeColor="text1"/>
        </w:rPr>
        <w:t xml:space="preserve"> льготы по земельному налогу установлены для </w:t>
      </w:r>
      <w:r>
        <w:rPr>
          <w:color w:val="auto"/>
        </w:rPr>
        <w:t xml:space="preserve">следующих </w:t>
      </w:r>
      <w:r w:rsidR="00D7442A" w:rsidRPr="000F6C9C">
        <w:rPr>
          <w:color w:val="000000" w:themeColor="text1"/>
        </w:rPr>
        <w:t>категорий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085627" w:rsidRPr="00865E83" w:rsidRDefault="00085627" w:rsidP="00085627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E83">
        <w:rPr>
          <w:rFonts w:ascii="Times New Roman" w:hAnsi="Times New Roman" w:cs="Times New Roman"/>
          <w:sz w:val="28"/>
          <w:szCs w:val="28"/>
        </w:rPr>
        <w:t xml:space="preserve">1) </w:t>
      </w:r>
      <w:r w:rsidRPr="00865E83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865E83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lastRenderedPageBreak/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085627">
        <w:rPr>
          <w:rFonts w:ascii="Times New Roman" w:hAnsi="Times New Roman"/>
          <w:sz w:val="28"/>
        </w:rPr>
        <w:t>жбы двадцать лет и более. 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085627">
        <w:rPr>
          <w:rFonts w:ascii="Times New Roman" w:hAnsi="Times New Roman"/>
          <w:sz w:val="28"/>
        </w:rPr>
        <w:t>рганов внутренних дел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</w:t>
      </w:r>
      <w:r w:rsidR="00085627">
        <w:rPr>
          <w:rFonts w:ascii="Times New Roman" w:hAnsi="Times New Roman"/>
          <w:sz w:val="28"/>
        </w:rPr>
        <w:t>Социалистического труда и полные кавалеры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</w:t>
      </w:r>
      <w:r w:rsidR="00085627">
        <w:rPr>
          <w:rFonts w:ascii="Times New Roman" w:hAnsi="Times New Roman"/>
          <w:sz w:val="28"/>
        </w:rPr>
        <w:t>тывающие детей инвалидов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-Ветераны и</w:t>
      </w:r>
      <w:r w:rsidR="00085627">
        <w:rPr>
          <w:rFonts w:ascii="Times New Roman" w:hAnsi="Times New Roman"/>
          <w:sz w:val="28"/>
        </w:rPr>
        <w:t xml:space="preserve"> инвалиды ВОВ, а 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085627" w:rsidP="00B43105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</w:t>
      </w:r>
      <w:r w:rsidR="00865E83">
        <w:rPr>
          <w:rFonts w:ascii="Times New Roman" w:hAnsi="Times New Roman"/>
          <w:sz w:val="28"/>
        </w:rPr>
        <w:t>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085627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5627">
        <w:rPr>
          <w:rFonts w:ascii="Times New Roman" w:hAnsi="Times New Roman"/>
          <w:sz w:val="28"/>
          <w:szCs w:val="28"/>
        </w:rPr>
        <w:t>Физические лица, соответствующие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F75" w:rsidRPr="00085627" w:rsidRDefault="00A123CE" w:rsidP="000856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</w:p>
    <w:p w:rsidR="00B43105" w:rsidRPr="000F6C9C" w:rsidRDefault="00B43105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FD1156" w:rsidRPr="00FD1156">
        <w:rPr>
          <w:color w:val="000000" w:themeColor="text1"/>
        </w:rPr>
        <w:t>Коломыцевского</w:t>
      </w:r>
      <w:r w:rsidR="00332F75" w:rsidRPr="00FD1156">
        <w:rPr>
          <w:b/>
          <w:color w:val="000000" w:themeColor="text1"/>
        </w:rPr>
        <w:t xml:space="preserve"> сельского поселения</w:t>
      </w:r>
      <w:r w:rsidR="00332F75" w:rsidRPr="00D92772">
        <w:rPr>
          <w:b/>
          <w:color w:val="FF0000"/>
        </w:rPr>
        <w:t xml:space="preserve"> </w:t>
      </w:r>
      <w:r w:rsidR="00332F75">
        <w:rPr>
          <w:b/>
        </w:rPr>
        <w:t>Красногвардейского</w:t>
      </w:r>
      <w:r w:rsidR="00332F75" w:rsidRPr="00F95617">
        <w:rPr>
          <w:b/>
        </w:rPr>
        <w:t xml:space="preserve"> района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</w:t>
            </w:r>
            <w:r w:rsidR="00085627">
              <w:rPr>
                <w:rFonts w:ascii="Times New Roman" w:hAnsi="Times New Roman"/>
                <w:sz w:val="28"/>
              </w:rPr>
              <w:t xml:space="preserve"> и более. 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</w:t>
            </w:r>
            <w:r w:rsidR="00085627">
              <w:rPr>
                <w:rFonts w:ascii="Times New Roman" w:hAnsi="Times New Roman"/>
                <w:sz w:val="28"/>
              </w:rPr>
              <w:t>рганов внутренних дел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Социалистического труда и </w:t>
            </w:r>
            <w:r w:rsidR="00085627">
              <w:rPr>
                <w:rFonts w:ascii="Times New Roman" w:hAnsi="Times New Roman"/>
                <w:sz w:val="28"/>
              </w:rPr>
              <w:t xml:space="preserve">полные </w:t>
            </w:r>
            <w:r w:rsidR="00085627">
              <w:rPr>
                <w:rFonts w:ascii="Times New Roman" w:hAnsi="Times New Roman"/>
                <w:sz w:val="28"/>
              </w:rPr>
              <w:lastRenderedPageBreak/>
              <w:t>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085627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085627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95680D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</w:t>
            </w:r>
            <w:r w:rsidR="00FD6250">
              <w:rPr>
                <w:rFonts w:ascii="Times New Roman" w:hAnsi="Times New Roman"/>
                <w:sz w:val="28"/>
              </w:rPr>
              <w:t>, имеющие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95680D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Pr="00B43105">
              <w:t>Ф</w:t>
            </w:r>
            <w:r w:rsidR="0095680D">
              <w:t xml:space="preserve">изические лица, соответствующие </w:t>
            </w:r>
            <w:r w:rsidRPr="00B43105">
              <w:t>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FD115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0F6C9C" w:rsidRDefault="00EA3DFC" w:rsidP="00FD115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B13E1A" w:rsidRPr="00FD6250" w:rsidRDefault="00B13E1A" w:rsidP="00B13E1A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по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земельному налогу </w:t>
      </w:r>
      <w:r w:rsidRPr="00FD6250">
        <w:rPr>
          <w:rFonts w:ascii="Times New Roman" w:hAnsi="Times New Roman" w:cs="Times New Roman"/>
          <w:color w:val="auto"/>
          <w:sz w:val="28"/>
          <w:szCs w:val="28"/>
        </w:rPr>
        <w:t xml:space="preserve">за 2021 год, предоставленной данной категории физических лиц, составил 22 тыс. рублей, или 91,7% к уровню 2020 года. Доля налогового расхода в общей величине налога, предъявленного к уплате физическими лицами, составляет 4,3%. </w:t>
      </w:r>
    </w:p>
    <w:p w:rsidR="00B13E1A" w:rsidRPr="00FD6250" w:rsidRDefault="00B13E1A" w:rsidP="00B13E1A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6250">
        <w:rPr>
          <w:rFonts w:ascii="Times New Roman" w:hAnsi="Times New Roman" w:cs="Times New Roman"/>
          <w:color w:val="auto"/>
          <w:sz w:val="28"/>
          <w:szCs w:val="28"/>
        </w:rPr>
        <w:t>Количество льготников составило 70 человек, или 87,5% к уровню 2020 года. Доля в общем количестве налогоплательщиков составляет 9,1%.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</w:t>
      </w:r>
      <w:r w:rsidRPr="0023778C">
        <w:rPr>
          <w:rStyle w:val="FontStyle38"/>
          <w:sz w:val="28"/>
          <w:szCs w:val="28"/>
        </w:rPr>
        <w:t xml:space="preserve">влияния на показатели достижения целей социально-экономической политики </w:t>
      </w:r>
      <w:r w:rsidRPr="00FD1156">
        <w:rPr>
          <w:rStyle w:val="FontStyle38"/>
          <w:color w:val="000000" w:themeColor="text1"/>
          <w:sz w:val="28"/>
          <w:szCs w:val="28"/>
        </w:rPr>
        <w:t xml:space="preserve">как </w:t>
      </w:r>
      <w:r w:rsidR="00FD1156" w:rsidRPr="00FD1156">
        <w:rPr>
          <w:color w:val="000000" w:themeColor="text1"/>
        </w:rPr>
        <w:t>Коломыцевского</w:t>
      </w:r>
      <w:r w:rsidR="0023778C" w:rsidRPr="00FD1156">
        <w:rPr>
          <w:color w:val="000000" w:themeColor="text1"/>
        </w:rPr>
        <w:t xml:space="preserve"> сельского поселения</w:t>
      </w:r>
      <w:r w:rsidRPr="00FD1156">
        <w:rPr>
          <w:rStyle w:val="FontStyle38"/>
          <w:color w:val="000000" w:themeColor="text1"/>
          <w:sz w:val="28"/>
          <w:szCs w:val="28"/>
        </w:rPr>
        <w:t>,</w:t>
      </w:r>
      <w:r w:rsidRPr="0023778C">
        <w:rPr>
          <w:rStyle w:val="FontStyle38"/>
          <w:sz w:val="28"/>
          <w:szCs w:val="28"/>
        </w:rPr>
        <w:t xml:space="preserve"> так и </w:t>
      </w:r>
      <w:r w:rsidR="0023778C" w:rsidRPr="0023778C">
        <w:t>Красногвардейского муниципального района</w:t>
      </w:r>
      <w:r w:rsidRPr="0023778C">
        <w:rPr>
          <w:rStyle w:val="FontStyle38"/>
          <w:sz w:val="28"/>
          <w:szCs w:val="28"/>
        </w:rPr>
        <w:t xml:space="preserve"> в целом, и их эффективность </w:t>
      </w:r>
      <w:r w:rsidRPr="0023778C">
        <w:rPr>
          <w:rStyle w:val="FontStyle38"/>
          <w:sz w:val="28"/>
          <w:szCs w:val="28"/>
        </w:rPr>
        <w:lastRenderedPageBreak/>
        <w:t>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B13E1A" w:rsidRPr="00FD6250" w:rsidRDefault="00B13E1A" w:rsidP="00B13E1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6250">
        <w:rPr>
          <w:rFonts w:ascii="Times New Roman" w:hAnsi="Times New Roman" w:cs="Times New Roman"/>
          <w:color w:val="auto"/>
          <w:sz w:val="28"/>
          <w:szCs w:val="28"/>
        </w:rPr>
        <w:t>- за 2021 год – 0,31 тыс. рублей,</w:t>
      </w:r>
    </w:p>
    <w:p w:rsidR="002310B6" w:rsidRPr="00FD1156" w:rsidRDefault="002310B6" w:rsidP="00EA0F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2020 год – </w:t>
      </w:r>
      <w:r w:rsidR="0093443E"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FD1156"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3443E"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B13E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B5832" w:rsidRPr="00FD1156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2019 год – </w:t>
      </w:r>
      <w:r w:rsidR="0093443E"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FD1156"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43E" w:rsidRPr="00FD1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FD1156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93443E" w:rsidRPr="00FD6250" w:rsidRDefault="00767D1C" w:rsidP="00FD62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lastRenderedPageBreak/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r w:rsidR="00FD1156" w:rsidRPr="00FD1156">
        <w:rPr>
          <w:b/>
          <w:color w:val="000000" w:themeColor="text1"/>
        </w:rPr>
        <w:t>Коломыцевского</w:t>
      </w:r>
      <w:r w:rsidR="00E921C3" w:rsidRPr="00FD1156">
        <w:rPr>
          <w:b/>
          <w:color w:val="000000" w:themeColor="text1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FD1156" w:rsidRPr="00FD1156">
        <w:rPr>
          <w:b/>
          <w:color w:val="000000" w:themeColor="text1"/>
        </w:rPr>
        <w:t>Коломыцевского</w:t>
      </w:r>
      <w:r w:rsidR="00E4223E" w:rsidRPr="00FD1156">
        <w:rPr>
          <w:b/>
          <w:color w:val="000000" w:themeColor="text1"/>
        </w:rPr>
        <w:t xml:space="preserve"> 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B13E1A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FD6250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8B5A3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«Лесопожарный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«Лесопожарный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FD6250">
        <w:rPr>
          <w:rFonts w:ascii="Times New Roman" w:hAnsi="Times New Roman" w:cs="Times New Roman"/>
          <w:sz w:val="28"/>
          <w:szCs w:val="28"/>
        </w:rPr>
        <w:t xml:space="preserve">финансируемые за счет средств бюджетов различных уровней. </w:t>
      </w:r>
    </w:p>
    <w:p w:rsidR="008B5A38" w:rsidRPr="00FD6250" w:rsidRDefault="008B5A38" w:rsidP="008B5A38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6250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2021 год по данному  учреждению составил 0 тыс.рублей, или 0% к уровню 2020 года. Доля налогового расхода в общей величине налога, предъявленного к уплате юридическими лицами, составляет 0%.</w:t>
      </w:r>
    </w:p>
    <w:p w:rsidR="008B5A38" w:rsidRPr="00FD6250" w:rsidRDefault="008B5A38" w:rsidP="008B5A38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6250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5,6%.</w:t>
      </w:r>
    </w:p>
    <w:p w:rsidR="00AC4A7E" w:rsidRPr="000F6C9C" w:rsidRDefault="00AC4A7E" w:rsidP="00AC4A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2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</w:t>
      </w: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основании вышеизложенного можно сделать вывод о востребованности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="00FD1156" w:rsidRPr="00627959">
        <w:rPr>
          <w:rFonts w:ascii="Times New Roman" w:hAnsi="Times New Roman" w:cs="Times New Roman"/>
          <w:color w:val="000000" w:themeColor="text1"/>
          <w:sz w:val="28"/>
          <w:szCs w:val="28"/>
        </w:rPr>
        <w:t>Коломыцевского</w:t>
      </w:r>
      <w:r w:rsidRPr="00627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27959">
        <w:rPr>
          <w:rStyle w:val="FontStyle38"/>
          <w:color w:val="000000" w:themeColor="text1"/>
          <w:sz w:val="28"/>
          <w:szCs w:val="28"/>
        </w:rPr>
        <w:t xml:space="preserve">, так и </w:t>
      </w:r>
      <w:r w:rsidRPr="00627959">
        <w:rPr>
          <w:rFonts w:ascii="Times New Roman" w:hAnsi="Times New Roman" w:cs="Times New Roman"/>
          <w:color w:val="000000" w:themeColor="text1"/>
          <w:sz w:val="28"/>
          <w:szCs w:val="28"/>
        </w:rPr>
        <w:t>Красногвардейского</w:t>
      </w:r>
      <w:r w:rsidRPr="00E921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lastRenderedPageBreak/>
        <w:t>«Лесопожарный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«Лесопожарный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«Лесопожарный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 расходов</w:t>
      </w:r>
      <w:r w:rsidRPr="000F6C9C">
        <w:rPr>
          <w:b/>
          <w:bCs/>
        </w:rPr>
        <w:t xml:space="preserve"> </w:t>
      </w:r>
      <w:r w:rsidR="00FD1156" w:rsidRPr="00627959">
        <w:rPr>
          <w:b/>
          <w:color w:val="000000" w:themeColor="text1"/>
        </w:rPr>
        <w:t>Коломыцевского</w:t>
      </w:r>
      <w:r w:rsidR="00E921C3" w:rsidRPr="00627959">
        <w:rPr>
          <w:b/>
          <w:color w:val="000000" w:themeColor="text1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FD6250" w:rsidRPr="000F6C9C" w:rsidRDefault="00FD625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294607" w:rsidRPr="000732C1" w:rsidRDefault="008B5A38" w:rsidP="000732C1">
      <w:pPr>
        <w:pStyle w:val="40"/>
        <w:shd w:val="clear" w:color="auto" w:fill="auto"/>
        <w:spacing w:before="0" w:line="240" w:lineRule="auto"/>
        <w:ind w:firstLine="0"/>
        <w:jc w:val="right"/>
        <w:rPr>
          <w:color w:val="auto"/>
        </w:rPr>
      </w:pPr>
      <w:bookmarkStart w:id="1" w:name="P25"/>
      <w:bookmarkEnd w:id="1"/>
      <w:r w:rsidRPr="00FD6250">
        <w:rPr>
          <w:color w:val="auto"/>
        </w:rPr>
        <w:t>31 мая 2023 года</w:t>
      </w: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</w:t>
      </w:r>
      <w:r w:rsidRPr="00627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бюджета </w:t>
      </w:r>
      <w:r w:rsidR="00FD1156" w:rsidRPr="00627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Коломыцевского</w:t>
      </w:r>
      <w:r w:rsidR="005F1BE9" w:rsidRPr="00627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Красногвардейского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8B5A38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677"/>
        <w:gridCol w:w="99"/>
        <w:gridCol w:w="2313"/>
        <w:gridCol w:w="2411"/>
        <w:gridCol w:w="2409"/>
        <w:gridCol w:w="92"/>
        <w:gridCol w:w="3311"/>
      </w:tblGrid>
      <w:tr w:rsidR="008B5A38" w:rsidRPr="00A00659" w:rsidTr="008B5A38">
        <w:tc>
          <w:tcPr>
            <w:tcW w:w="564" w:type="dxa"/>
            <w:vAlign w:val="center"/>
          </w:tcPr>
          <w:p w:rsidR="008B5A38" w:rsidRPr="000B42D9" w:rsidRDefault="008B5A38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776" w:type="dxa"/>
            <w:gridSpan w:val="2"/>
            <w:vAlign w:val="center"/>
          </w:tcPr>
          <w:p w:rsidR="008B5A38" w:rsidRPr="000B42D9" w:rsidRDefault="008B5A38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313" w:type="dxa"/>
            <w:vAlign w:val="center"/>
          </w:tcPr>
          <w:p w:rsidR="008B5A38" w:rsidRPr="000B42D9" w:rsidRDefault="008B5A38" w:rsidP="008B5A38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2411" w:type="dxa"/>
            <w:vAlign w:val="center"/>
          </w:tcPr>
          <w:p w:rsidR="008B5A38" w:rsidRPr="000B42D9" w:rsidRDefault="008B5A38" w:rsidP="008B5A38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8B5A38" w:rsidRPr="000B42D9" w:rsidRDefault="008B5A38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</w:p>
        </w:tc>
        <w:tc>
          <w:tcPr>
            <w:tcW w:w="3403" w:type="dxa"/>
            <w:gridSpan w:val="2"/>
            <w:vAlign w:val="center"/>
          </w:tcPr>
          <w:p w:rsidR="008B5A38" w:rsidRPr="000B42D9" w:rsidRDefault="008B5A38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8B5A38">
        <w:tc>
          <w:tcPr>
            <w:tcW w:w="15876" w:type="dxa"/>
            <w:gridSpan w:val="8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8B5A38">
        <w:tc>
          <w:tcPr>
            <w:tcW w:w="15876" w:type="dxa"/>
            <w:gridSpan w:val="8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8B5A38">
        <w:tc>
          <w:tcPr>
            <w:tcW w:w="564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312" w:type="dxa"/>
            <w:gridSpan w:val="7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FD6250">
              <w:rPr>
                <w:rFonts w:ascii="Times New Roman" w:hAnsi="Times New Roman" w:cs="Times New Roman"/>
              </w:rPr>
              <w:t>жбы двадцать лет и более. Члены</w:t>
            </w:r>
            <w:r w:rsidRPr="00B86B1C">
              <w:rPr>
                <w:rFonts w:ascii="Times New Roman" w:hAnsi="Times New Roman" w:cs="Times New Roman"/>
              </w:rPr>
              <w:t xml:space="preserve"> семей военнослужащих и сотрудников о</w:t>
            </w:r>
            <w:r w:rsidR="00FD6250">
              <w:rPr>
                <w:rFonts w:ascii="Times New Roman" w:hAnsi="Times New Roman" w:cs="Times New Roman"/>
              </w:rPr>
              <w:t>рганов внутренних дел потерявшие</w:t>
            </w:r>
            <w:r w:rsidRPr="00B86B1C">
              <w:rPr>
                <w:rFonts w:ascii="Times New Roman" w:hAnsi="Times New Roman" w:cs="Times New Roman"/>
              </w:rPr>
              <w:t xml:space="preserve">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</w:t>
            </w:r>
            <w:r w:rsidR="00FD6250">
              <w:rPr>
                <w:rFonts w:ascii="Times New Roman" w:hAnsi="Times New Roman" w:cs="Times New Roman"/>
              </w:rPr>
              <w:t>Социалистического труда и полные кавалеры</w:t>
            </w:r>
            <w:r w:rsidRPr="00B86B1C">
              <w:rPr>
                <w:rFonts w:ascii="Times New Roman" w:hAnsi="Times New Roman" w:cs="Times New Roman"/>
              </w:rPr>
              <w:t xml:space="preserve">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Семьи, воспитывающие детей </w:t>
            </w:r>
            <w:r w:rsidR="00FD6250">
              <w:rPr>
                <w:rFonts w:ascii="Times New Roman" w:hAnsi="Times New Roman" w:cs="Times New Roman"/>
              </w:rPr>
              <w:t>инвалидов и семьи</w:t>
            </w:r>
            <w:r w:rsidRPr="00B86B1C">
              <w:rPr>
                <w:rFonts w:ascii="Times New Roman" w:hAnsi="Times New Roman" w:cs="Times New Roman"/>
              </w:rPr>
              <w:t xml:space="preserve">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-Ветераны и</w:t>
            </w:r>
            <w:r w:rsidR="00FD6250">
              <w:rPr>
                <w:rFonts w:ascii="Times New Roman" w:hAnsi="Times New Roman" w:cs="Times New Roman"/>
              </w:rPr>
              <w:t xml:space="preserve"> инвалиды ВОВ, а также ветераны и инвалиды</w:t>
            </w:r>
            <w:r w:rsidRPr="00B86B1C">
              <w:rPr>
                <w:rFonts w:ascii="Times New Roman" w:hAnsi="Times New Roman" w:cs="Times New Roman"/>
              </w:rPr>
              <w:t xml:space="preserve"> боевых действий; </w:t>
            </w:r>
          </w:p>
          <w:p w:rsidR="00B86B1C" w:rsidRPr="00B86B1C" w:rsidRDefault="00FD6250" w:rsidP="00B8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-Физические</w:t>
            </w:r>
            <w:r w:rsidR="00B86B1C" w:rsidRPr="00B86B1C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а, имеющие</w:t>
            </w:r>
            <w:r w:rsidR="00B86B1C" w:rsidRPr="00B86B1C">
              <w:rPr>
                <w:rFonts w:ascii="Times New Roman" w:hAnsi="Times New Roman" w:cs="Times New Roman"/>
              </w:rPr>
              <w:t xml:space="preserve">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Мног</w:t>
            </w:r>
            <w:r w:rsidR="00FD6250">
              <w:rPr>
                <w:rFonts w:ascii="Times New Roman" w:hAnsi="Times New Roman" w:cs="Times New Roman"/>
              </w:rPr>
              <w:t xml:space="preserve">одетные родители, организовавшие </w:t>
            </w:r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D6250">
              <w:rPr>
                <w:rFonts w:ascii="Times New Roman" w:hAnsi="Times New Roman"/>
              </w:rPr>
              <w:t>Физические лица, соответствующие</w:t>
            </w:r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8B5A38">
        <w:tc>
          <w:tcPr>
            <w:tcW w:w="564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312" w:type="dxa"/>
            <w:gridSpan w:val="7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8B5A38" w:rsidRPr="00A00659" w:rsidTr="008B5A38">
        <w:tc>
          <w:tcPr>
            <w:tcW w:w="564" w:type="dxa"/>
            <w:vAlign w:val="center"/>
          </w:tcPr>
          <w:p w:rsidR="008B5A38" w:rsidRPr="00A00659" w:rsidRDefault="008B5A38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276434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446512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FD115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507762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8B5A38" w:rsidRPr="00A00659" w:rsidTr="008B5A38">
        <w:tc>
          <w:tcPr>
            <w:tcW w:w="564" w:type="dxa"/>
            <w:vAlign w:val="center"/>
          </w:tcPr>
          <w:p w:rsidR="008B5A38" w:rsidRPr="00A00659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276434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446512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62795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507762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8B5A38" w:rsidRPr="00A00659" w:rsidTr="008B5A38">
        <w:tc>
          <w:tcPr>
            <w:tcW w:w="564" w:type="dxa"/>
            <w:vAlign w:val="center"/>
          </w:tcPr>
          <w:p w:rsidR="008B5A38" w:rsidRPr="00A00659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8B5A38" w:rsidRPr="00A00659" w:rsidRDefault="008B5A38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FD115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8B5A38" w:rsidRPr="00A00659" w:rsidTr="008B5A38">
        <w:tc>
          <w:tcPr>
            <w:tcW w:w="564" w:type="dxa"/>
            <w:vAlign w:val="center"/>
          </w:tcPr>
          <w:p w:rsidR="008B5A38" w:rsidRDefault="008B5A38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434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FD115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510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38" w:rsidRPr="00A00659" w:rsidTr="008B5A38">
        <w:tc>
          <w:tcPr>
            <w:tcW w:w="564" w:type="dxa"/>
            <w:vAlign w:val="center"/>
          </w:tcPr>
          <w:p w:rsidR="008B5A38" w:rsidRPr="00A00659" w:rsidRDefault="008B5A3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FD115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38" w:rsidRPr="00A00659" w:rsidTr="008B5A38">
        <w:tc>
          <w:tcPr>
            <w:tcW w:w="564" w:type="dxa"/>
            <w:vAlign w:val="center"/>
          </w:tcPr>
          <w:p w:rsidR="008B5A38" w:rsidRDefault="008B5A38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7" w:type="dxa"/>
            <w:vAlign w:val="center"/>
          </w:tcPr>
          <w:p w:rsidR="008B5A38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8,1%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5,2%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FD115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4,3%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38" w:rsidRPr="00A00659" w:rsidTr="008B5A38">
        <w:tc>
          <w:tcPr>
            <w:tcW w:w="564" w:type="dxa"/>
            <w:vAlign w:val="center"/>
          </w:tcPr>
          <w:p w:rsidR="008B5A38" w:rsidRDefault="008B5A3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7" w:type="dxa"/>
            <w:vAlign w:val="center"/>
          </w:tcPr>
          <w:p w:rsidR="008B5A38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781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779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FD115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766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38" w:rsidRPr="00A00659" w:rsidTr="008B5A38">
        <w:tc>
          <w:tcPr>
            <w:tcW w:w="564" w:type="dxa"/>
            <w:vAlign w:val="center"/>
          </w:tcPr>
          <w:p w:rsidR="008B5A38" w:rsidRDefault="008B5A3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FD115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38" w:rsidRPr="00A00659" w:rsidTr="008B5A38">
        <w:tc>
          <w:tcPr>
            <w:tcW w:w="564" w:type="dxa"/>
            <w:vAlign w:val="center"/>
          </w:tcPr>
          <w:p w:rsidR="008B5A38" w:rsidRDefault="008B5A38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14,9%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10,3%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FD115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9,1%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8B5A38">
        <w:tc>
          <w:tcPr>
            <w:tcW w:w="15876" w:type="dxa"/>
            <w:gridSpan w:val="8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8B5A38">
        <w:tc>
          <w:tcPr>
            <w:tcW w:w="564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12" w:type="dxa"/>
            <w:gridSpan w:val="7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8B5A38">
        <w:tc>
          <w:tcPr>
            <w:tcW w:w="564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312" w:type="dxa"/>
            <w:gridSpan w:val="7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8B5A38" w:rsidRPr="00AB3811" w:rsidTr="008B5A38">
        <w:tc>
          <w:tcPr>
            <w:tcW w:w="564" w:type="dxa"/>
            <w:vAlign w:val="center"/>
          </w:tcPr>
          <w:p w:rsidR="008B5A38" w:rsidRPr="00A00659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72135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82413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329521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8B5A38" w:rsidRPr="00AB3811" w:rsidTr="008B5A38">
        <w:tc>
          <w:tcPr>
            <w:tcW w:w="564" w:type="dxa"/>
            <w:vAlign w:val="center"/>
          </w:tcPr>
          <w:p w:rsidR="008B5A38" w:rsidRPr="00A00659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72135</w:t>
            </w:r>
          </w:p>
        </w:tc>
        <w:tc>
          <w:tcPr>
            <w:tcW w:w="2411" w:type="dxa"/>
            <w:vAlign w:val="center"/>
          </w:tcPr>
          <w:p w:rsidR="008B5A38" w:rsidRPr="00E60567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82413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E60567" w:rsidRDefault="008B5A3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116728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8B5A38" w:rsidRPr="00AB3811" w:rsidTr="008B5A38">
        <w:tc>
          <w:tcPr>
            <w:tcW w:w="564" w:type="dxa"/>
            <w:vAlign w:val="center"/>
          </w:tcPr>
          <w:p w:rsidR="008B5A38" w:rsidRPr="00A00659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8B5A38" w:rsidRPr="00A00659" w:rsidRDefault="008B5A38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1" w:type="dxa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2906EF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8B5A38" w:rsidRPr="00AB3811" w:rsidTr="008B5A38">
        <w:tc>
          <w:tcPr>
            <w:tcW w:w="564" w:type="dxa"/>
            <w:vAlign w:val="center"/>
          </w:tcPr>
          <w:p w:rsidR="008B5A38" w:rsidRPr="00A00659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8B5A38" w:rsidRPr="00A00659" w:rsidRDefault="008B5A38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1" w:type="dxa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2906EF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8B5A38" w:rsidRPr="00AB3811" w:rsidTr="008B5A38">
        <w:tc>
          <w:tcPr>
            <w:tcW w:w="564" w:type="dxa"/>
            <w:vAlign w:val="center"/>
          </w:tcPr>
          <w:p w:rsidR="008B5A38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522A09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454</w:t>
            </w:r>
          </w:p>
        </w:tc>
        <w:tc>
          <w:tcPr>
            <w:tcW w:w="2411" w:type="dxa"/>
            <w:vAlign w:val="center"/>
          </w:tcPr>
          <w:p w:rsidR="008B5A38" w:rsidRPr="00522A09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503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522A09" w:rsidRDefault="00562C3F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714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38" w:rsidRPr="00AB3811" w:rsidTr="008B5A38">
        <w:tc>
          <w:tcPr>
            <w:tcW w:w="564" w:type="dxa"/>
            <w:vAlign w:val="center"/>
          </w:tcPr>
          <w:p w:rsidR="008B5A38" w:rsidRPr="00A00659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2411" w:type="dxa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2906EF" w:rsidRDefault="00562C3F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311" w:type="dxa"/>
            <w:vAlign w:val="center"/>
          </w:tcPr>
          <w:p w:rsidR="008B5A38" w:rsidRPr="009E45CD" w:rsidRDefault="008B5A38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38" w:rsidRPr="00AB3811" w:rsidTr="008B5A38">
        <w:tc>
          <w:tcPr>
            <w:tcW w:w="564" w:type="dxa"/>
            <w:vAlign w:val="center"/>
          </w:tcPr>
          <w:p w:rsidR="008B5A38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7" w:type="dxa"/>
            <w:vAlign w:val="center"/>
          </w:tcPr>
          <w:p w:rsidR="008B5A38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411" w:type="dxa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2906EF" w:rsidRDefault="00562C3F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38" w:rsidRPr="00AB3811" w:rsidTr="008B5A38">
        <w:tc>
          <w:tcPr>
            <w:tcW w:w="564" w:type="dxa"/>
            <w:vAlign w:val="center"/>
          </w:tcPr>
          <w:p w:rsidR="008B5A38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7" w:type="dxa"/>
            <w:vAlign w:val="center"/>
          </w:tcPr>
          <w:p w:rsidR="008B5A38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411" w:type="dxa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2906EF" w:rsidRDefault="00562C3F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38" w:rsidRPr="00AB3811" w:rsidTr="008B5A38">
        <w:tc>
          <w:tcPr>
            <w:tcW w:w="564" w:type="dxa"/>
            <w:vAlign w:val="center"/>
          </w:tcPr>
          <w:p w:rsidR="008B5A38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2906EF" w:rsidRDefault="00562C3F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38" w:rsidRPr="00AB3811" w:rsidTr="008B5A38">
        <w:tc>
          <w:tcPr>
            <w:tcW w:w="564" w:type="dxa"/>
            <w:vAlign w:val="center"/>
          </w:tcPr>
          <w:p w:rsidR="008B5A38" w:rsidRDefault="008B5A3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7" w:type="dxa"/>
            <w:vAlign w:val="center"/>
          </w:tcPr>
          <w:p w:rsidR="008B5A38" w:rsidRPr="00A00659" w:rsidRDefault="008B5A38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412" w:type="dxa"/>
            <w:gridSpan w:val="2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7,1%</w:t>
            </w:r>
          </w:p>
        </w:tc>
        <w:tc>
          <w:tcPr>
            <w:tcW w:w="2411" w:type="dxa"/>
            <w:vAlign w:val="center"/>
          </w:tcPr>
          <w:p w:rsidR="008B5A38" w:rsidRPr="002906EF" w:rsidRDefault="008B5A38" w:rsidP="008B5A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6,3%</w:t>
            </w:r>
          </w:p>
        </w:tc>
        <w:tc>
          <w:tcPr>
            <w:tcW w:w="2501" w:type="dxa"/>
            <w:gridSpan w:val="2"/>
            <w:vAlign w:val="center"/>
          </w:tcPr>
          <w:p w:rsidR="008B5A38" w:rsidRPr="002906EF" w:rsidRDefault="00562C3F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5,6%</w:t>
            </w:r>
          </w:p>
        </w:tc>
        <w:tc>
          <w:tcPr>
            <w:tcW w:w="3311" w:type="dxa"/>
            <w:vAlign w:val="center"/>
          </w:tcPr>
          <w:p w:rsidR="008B5A38" w:rsidRPr="00AB3811" w:rsidRDefault="008B5A38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0F" w:rsidRDefault="00BC580F" w:rsidP="00BD5DD4">
      <w:r>
        <w:separator/>
      </w:r>
    </w:p>
  </w:endnote>
  <w:endnote w:type="continuationSeparator" w:id="0">
    <w:p w:rsidR="00BC580F" w:rsidRDefault="00BC580F" w:rsidP="00B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0F" w:rsidRDefault="00BC580F"/>
  </w:footnote>
  <w:footnote w:type="continuationSeparator" w:id="0">
    <w:p w:rsidR="00BC580F" w:rsidRDefault="00BC58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32C1"/>
    <w:rsid w:val="00076E67"/>
    <w:rsid w:val="00083D50"/>
    <w:rsid w:val="0008469A"/>
    <w:rsid w:val="00085627"/>
    <w:rsid w:val="00090D32"/>
    <w:rsid w:val="00091F94"/>
    <w:rsid w:val="000A0773"/>
    <w:rsid w:val="000A2EA6"/>
    <w:rsid w:val="000A304B"/>
    <w:rsid w:val="000C07AA"/>
    <w:rsid w:val="000C23A6"/>
    <w:rsid w:val="000C79AA"/>
    <w:rsid w:val="000D2AE8"/>
    <w:rsid w:val="000D4C9D"/>
    <w:rsid w:val="000E2707"/>
    <w:rsid w:val="000F1D52"/>
    <w:rsid w:val="000F3180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34BF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72B6B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3E12"/>
    <w:rsid w:val="00535630"/>
    <w:rsid w:val="005447D7"/>
    <w:rsid w:val="00547454"/>
    <w:rsid w:val="00557CEB"/>
    <w:rsid w:val="00562C3F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B6DD3"/>
    <w:rsid w:val="005C02A6"/>
    <w:rsid w:val="005D12C7"/>
    <w:rsid w:val="005D1D5A"/>
    <w:rsid w:val="005D20F0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27959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2EC5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2C43"/>
    <w:rsid w:val="00836187"/>
    <w:rsid w:val="00836721"/>
    <w:rsid w:val="00841A42"/>
    <w:rsid w:val="00850D10"/>
    <w:rsid w:val="0086170A"/>
    <w:rsid w:val="00865E83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5A38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5680D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11188"/>
    <w:rsid w:val="00B13E1A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C580F"/>
    <w:rsid w:val="00BD571F"/>
    <w:rsid w:val="00BD5DD4"/>
    <w:rsid w:val="00BD608D"/>
    <w:rsid w:val="00BD6DD2"/>
    <w:rsid w:val="00BE6DE8"/>
    <w:rsid w:val="00C11354"/>
    <w:rsid w:val="00C2566F"/>
    <w:rsid w:val="00C30169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A0FA4"/>
    <w:rsid w:val="00EA3DFC"/>
    <w:rsid w:val="00EA5CF8"/>
    <w:rsid w:val="00EB2808"/>
    <w:rsid w:val="00EB480D"/>
    <w:rsid w:val="00EB702D"/>
    <w:rsid w:val="00EC1A4A"/>
    <w:rsid w:val="00EC7CBF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B737A"/>
    <w:rsid w:val="00FC2DFC"/>
    <w:rsid w:val="00FD1156"/>
    <w:rsid w:val="00FD229B"/>
    <w:rsid w:val="00FD6250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39FCB-A9DD-47BF-8DEE-4A04D241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79CB-7F26-41B6-AA46-DEF7BF8C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Делопроизводитель</cp:lastModifiedBy>
  <cp:revision>2</cp:revision>
  <cp:lastPrinted>2021-08-31T06:32:00Z</cp:lastPrinted>
  <dcterms:created xsi:type="dcterms:W3CDTF">2023-05-26T08:24:00Z</dcterms:created>
  <dcterms:modified xsi:type="dcterms:W3CDTF">2023-05-26T08:24:00Z</dcterms:modified>
</cp:coreProperties>
</file>