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67" w:rsidRPr="0083594D" w:rsidRDefault="00367967" w:rsidP="00367967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Pr="0083594D">
        <w:rPr>
          <w:b/>
          <w:sz w:val="28"/>
          <w:szCs w:val="28"/>
        </w:rPr>
        <w:t xml:space="preserve"> налоговых расходов</w:t>
      </w:r>
    </w:p>
    <w:p w:rsidR="00367967" w:rsidRPr="0083594D" w:rsidRDefault="00367967" w:rsidP="00367967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83594D">
        <w:rPr>
          <w:b/>
          <w:sz w:val="28"/>
          <w:szCs w:val="28"/>
        </w:rPr>
        <w:t>Коломыцевского сельского поселения</w:t>
      </w:r>
    </w:p>
    <w:p w:rsidR="00367967" w:rsidRPr="0083594D" w:rsidRDefault="00367967" w:rsidP="00367967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tbl>
      <w:tblPr>
        <w:tblStyle w:val="a5"/>
        <w:tblW w:w="15984" w:type="dxa"/>
        <w:tblLook w:val="00A0" w:firstRow="1" w:lastRow="0" w:firstColumn="1" w:lastColumn="0" w:noHBand="0" w:noVBand="0"/>
      </w:tblPr>
      <w:tblGrid>
        <w:gridCol w:w="606"/>
        <w:gridCol w:w="3783"/>
        <w:gridCol w:w="1823"/>
        <w:gridCol w:w="4070"/>
        <w:gridCol w:w="3013"/>
        <w:gridCol w:w="2689"/>
      </w:tblGrid>
      <w:tr w:rsidR="00367967" w:rsidRPr="0083594D" w:rsidTr="00BD3493">
        <w:tc>
          <w:tcPr>
            <w:tcW w:w="606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№</w:t>
            </w:r>
          </w:p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п/п</w:t>
            </w:r>
          </w:p>
        </w:tc>
        <w:tc>
          <w:tcPr>
            <w:tcW w:w="3783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</w:p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Предоставляемая информация</w:t>
            </w:r>
          </w:p>
        </w:tc>
        <w:tc>
          <w:tcPr>
            <w:tcW w:w="1823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</w:p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Источник данных</w:t>
            </w:r>
          </w:p>
        </w:tc>
        <w:tc>
          <w:tcPr>
            <w:tcW w:w="9772" w:type="dxa"/>
            <w:gridSpan w:val="3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Показатели для оценки налоговых расходов по видам льгот</w:t>
            </w:r>
          </w:p>
        </w:tc>
      </w:tr>
      <w:tr w:rsidR="00367967" w:rsidRPr="0083594D" w:rsidTr="00BD3493">
        <w:tc>
          <w:tcPr>
            <w:tcW w:w="15984" w:type="dxa"/>
            <w:gridSpan w:val="6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1. Нормативные характеристики налоговых расходов</w:t>
            </w:r>
          </w:p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Коломыцевского сельского поселения</w:t>
            </w:r>
          </w:p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367967" w:rsidRPr="0083594D" w:rsidTr="00BD3493">
        <w:tc>
          <w:tcPr>
            <w:tcW w:w="606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1.1.</w:t>
            </w:r>
          </w:p>
        </w:tc>
        <w:tc>
          <w:tcPr>
            <w:tcW w:w="3783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83594D">
              <w:t>Наименование налогов, по которым предусматриваются налоговые льготы, установленные нормативными правовыми актами Коломыцевского сельского поселения  (далее - НПА поселения)</w:t>
            </w:r>
          </w:p>
        </w:tc>
        <w:tc>
          <w:tcPr>
            <w:tcW w:w="1823" w:type="dxa"/>
          </w:tcPr>
          <w:p w:rsidR="00367967" w:rsidRPr="0083594D" w:rsidRDefault="00367967" w:rsidP="00BD3493">
            <w:pPr>
              <w:tabs>
                <w:tab w:val="left" w:pos="4305"/>
              </w:tabs>
              <w:textAlignment w:val="baseline"/>
            </w:pPr>
            <w:r w:rsidRPr="0083594D">
              <w:t>Данные администрации</w:t>
            </w:r>
          </w:p>
        </w:tc>
        <w:tc>
          <w:tcPr>
            <w:tcW w:w="4070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Земельный налог физических лиц</w:t>
            </w:r>
          </w:p>
        </w:tc>
        <w:tc>
          <w:tcPr>
            <w:tcW w:w="3013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Земельный налог физических лиц</w:t>
            </w:r>
          </w:p>
        </w:tc>
        <w:tc>
          <w:tcPr>
            <w:tcW w:w="2689" w:type="dxa"/>
          </w:tcPr>
          <w:p w:rsidR="00367967" w:rsidRPr="0083594D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83594D">
              <w:t>Земельный налог юридических лиц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1.2.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Решение земского собрания Коломыцевского сельского поселения от 08.11.2019 № 1 "Об установлении на территории Коломыцевского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Решение земского собрания Коломыцевского сельского поселения от 08.11.2019 № 1 "Об установлении на территории Коломыцевского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Решение земского собрания Коломыцевского сельского поселения от 08.11.2019 № 1 "Об установлении на территории Коломыцевского сельского поселения муниципального района "Красногвардейский район" Белгородской области земельного налога "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1.3.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Условия предоставления льгот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  <w:tc>
          <w:tcPr>
            <w:tcW w:w="3013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lastRenderedPageBreak/>
              <w:t>1.4.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67967" w:rsidRPr="00FC7BDA" w:rsidRDefault="00367967" w:rsidP="00BD3493">
            <w:r w:rsidRPr="00FC7BDA">
              <w:t xml:space="preserve">-Инвалиды I и II групп инвалидности;   </w:t>
            </w:r>
          </w:p>
          <w:p w:rsidR="00367967" w:rsidRPr="00FC7BDA" w:rsidRDefault="00367967" w:rsidP="00BD3493">
            <w:r w:rsidRPr="00FC7BDA"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67967" w:rsidRPr="00FC7BDA" w:rsidRDefault="00367967" w:rsidP="00BD3493">
            <w:r w:rsidRPr="00FC7BDA"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Члены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367967" w:rsidRPr="00FC7BDA" w:rsidRDefault="00367967" w:rsidP="00BD3493">
            <w:r w:rsidRPr="00FC7BDA">
              <w:t xml:space="preserve">-Герои Советского Союза, Герои Российской Федерации, Герои Социалистического труда и полные кавалеры орденов Славы, трудовой </w:t>
            </w:r>
            <w:r w:rsidRPr="00FC7BDA">
              <w:lastRenderedPageBreak/>
              <w:t xml:space="preserve">Славы и «За службу Родине в Вооруженных Силах СССР», </w:t>
            </w:r>
          </w:p>
          <w:p w:rsidR="00367967" w:rsidRPr="00FC7BDA" w:rsidRDefault="00367967" w:rsidP="00BD3493">
            <w:r w:rsidRPr="00FC7BDA">
              <w:t xml:space="preserve">- Инвалиды с детства; </w:t>
            </w:r>
          </w:p>
          <w:p w:rsidR="00367967" w:rsidRPr="00FC7BDA" w:rsidRDefault="00367967" w:rsidP="00BD3493">
            <w:r w:rsidRPr="00FC7BDA">
              <w:t xml:space="preserve">- Семьи, воспитывающие детей инвалидов и семьи, где есть родители инвалиды; </w:t>
            </w:r>
          </w:p>
          <w:p w:rsidR="00367967" w:rsidRPr="00FC7BDA" w:rsidRDefault="00367967" w:rsidP="00BD3493">
            <w:r w:rsidRPr="00FC7BDA">
              <w:t xml:space="preserve">-Ветераны и инвалиды ВОВ, а также ветераны и инвалиды боевых действий; </w:t>
            </w:r>
          </w:p>
          <w:p w:rsidR="00367967" w:rsidRPr="00FC7BDA" w:rsidRDefault="00367967" w:rsidP="00BD3493">
            <w:r w:rsidRPr="00FC7BDA">
              <w:t>-Физические лица, имеющие трех и более несовершеннолетних детей;</w:t>
            </w:r>
          </w:p>
          <w:p w:rsidR="00367967" w:rsidRPr="00FC7BDA" w:rsidRDefault="00367967" w:rsidP="00BD3493">
            <w:r w:rsidRPr="00FC7BDA">
              <w:t>- Многодетные родители, организовавшие  крестьянские (фермерские) хозяйства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lastRenderedPageBreak/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lastRenderedPageBreak/>
              <w:t>1.5.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01.01.2020 г.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01.01.2020 г.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01.01.2020 г.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1.6.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01.01.2020 г.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01.01.2020 г.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01.01.2020 г.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1.7.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Период действия налоговых льгот, предоставленных НПА поселения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Период  действия НПА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Период действия НПА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Период действия НПА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1.8.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Дата прекращения действия налоговых льгот, установленная НПА поселения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Бессрочно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Бессрочно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Бессрочно</w:t>
            </w:r>
          </w:p>
        </w:tc>
      </w:tr>
      <w:tr w:rsidR="00367967" w:rsidRPr="00FC7BDA" w:rsidTr="00BD3493">
        <w:tc>
          <w:tcPr>
            <w:tcW w:w="15984" w:type="dxa"/>
            <w:gridSpan w:val="6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 xml:space="preserve">2. Целевые характеристики налоговых расходов 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Коломыцевского сельского поселения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2.1.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Наименование налоговых льгот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Освобождение от уплаты налога  в размере 100%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Освобождение от уплаты земельного налога в размере 25% от начисленного налога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Освобождение от уплаты земельного налога в размере 100% от начисленного налога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2.2.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Целевая категория налогового расхода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Социальная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Социальная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Техническая</w:t>
            </w:r>
          </w:p>
          <w:p w:rsidR="00367967" w:rsidRPr="00FC7BDA" w:rsidRDefault="00367967" w:rsidP="00BD3493"/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lastRenderedPageBreak/>
              <w:t>2.3.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Цели предоставления налоговых льгот, установленных НПА поселения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Кураторы налоговых расходов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Повышение качества жизни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Повышение качества жизни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Поддержка экономики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2.4.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освобождение от уплаты налога в отношении земельных участков,  приобретенных (предоставленных) для личного подсобного хозяйства, садоводства, огородничества и животноводства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уменьшение налогооблагаемой базы в размере 25% суммы земельного налога в отношении земельного участка (одного объекта налогообложения), предназначенного для индивидуального жилищного строительства или ведения личного подсобного хозяйства в границах населенных пунктов поселения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Пониженная ставка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2.5.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Данные администрации</w:t>
            </w:r>
          </w:p>
        </w:tc>
        <w:tc>
          <w:tcPr>
            <w:tcW w:w="4070" w:type="dxa"/>
          </w:tcPr>
          <w:p w:rsidR="00367967" w:rsidRPr="00FC7BDA" w:rsidRDefault="00367967" w:rsidP="00BD3493">
            <w:r w:rsidRPr="00FC7BDA">
              <w:t>0,3%</w:t>
            </w:r>
          </w:p>
        </w:tc>
        <w:tc>
          <w:tcPr>
            <w:tcW w:w="3013" w:type="dxa"/>
          </w:tcPr>
          <w:p w:rsidR="00367967" w:rsidRPr="00FC7BDA" w:rsidRDefault="00367967" w:rsidP="00BD3493">
            <w:r w:rsidRPr="00FC7BDA">
              <w:t>0,3%</w:t>
            </w:r>
          </w:p>
        </w:tc>
        <w:tc>
          <w:tcPr>
            <w:tcW w:w="2689" w:type="dxa"/>
          </w:tcPr>
          <w:p w:rsidR="00367967" w:rsidRPr="00FC7BDA" w:rsidRDefault="00367967" w:rsidP="00BD3493">
            <w:r w:rsidRPr="00FC7BDA">
              <w:t>1,5%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2.6.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Наименование муниципальной программы Коломыцевского сельского поселения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Кураторы налоговых расходов</w:t>
            </w:r>
          </w:p>
        </w:tc>
        <w:tc>
          <w:tcPr>
            <w:tcW w:w="4070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  <w:tc>
          <w:tcPr>
            <w:tcW w:w="3013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2.7.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 xml:space="preserve">Наименования структурных элементов муниципальной программы Коломыцевского </w:t>
            </w:r>
            <w:r w:rsidRPr="00FC7BDA">
              <w:lastRenderedPageBreak/>
              <w:t>сельского поселения, в рамках которых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lastRenderedPageBreak/>
              <w:t>Кураторы налоговых расходов</w:t>
            </w:r>
          </w:p>
        </w:tc>
        <w:tc>
          <w:tcPr>
            <w:tcW w:w="4070" w:type="dxa"/>
          </w:tcPr>
          <w:p w:rsidR="00367967" w:rsidRPr="00FC7BDA" w:rsidRDefault="00367967" w:rsidP="00BD3493">
            <w:pPr>
              <w:jc w:val="center"/>
            </w:pPr>
          </w:p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  <w:tc>
          <w:tcPr>
            <w:tcW w:w="3013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jc w:val="center"/>
            </w:pPr>
            <w:r w:rsidRPr="00FC7BDA">
              <w:t>-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lastRenderedPageBreak/>
              <w:t>2.8.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Показатели (индикаторы) достижения целей предоставления налогового расхода, в том числе показатели муниципальной программы Коломыцевского сельского поселения и их структурных элементов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Кураторы налоговых расходов</w:t>
            </w:r>
          </w:p>
        </w:tc>
        <w:tc>
          <w:tcPr>
            <w:tcW w:w="4070" w:type="dxa"/>
          </w:tcPr>
          <w:p w:rsidR="00367967" w:rsidRPr="00FC7BDA" w:rsidRDefault="00367967" w:rsidP="00BD3493">
            <w:pPr>
              <w:jc w:val="center"/>
            </w:pPr>
            <w:r w:rsidRPr="00FC7BDA">
              <w:t>Повышение качества жизни</w:t>
            </w:r>
          </w:p>
        </w:tc>
        <w:tc>
          <w:tcPr>
            <w:tcW w:w="3013" w:type="dxa"/>
          </w:tcPr>
          <w:p w:rsidR="00367967" w:rsidRPr="00FC7BDA" w:rsidRDefault="00367967" w:rsidP="00BD3493">
            <w:pPr>
              <w:jc w:val="center"/>
            </w:pPr>
            <w:r w:rsidRPr="00FC7BDA">
              <w:t>Повышение качества жизни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jc w:val="center"/>
            </w:pPr>
            <w:r w:rsidRPr="00FC7BDA">
              <w:t>Создание условий для обеспечения охраны, содержания и использования особо охраняемых природных территорий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2.9.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Значения, показателей (индикаторов) достижения целей предоставления налогового расхода, в том числе показатели муниципальной программы Коломыцевского 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  <w:r w:rsidRPr="00FC7BDA">
              <w:t>Кураторы налоговых расходов</w:t>
            </w:r>
          </w:p>
        </w:tc>
        <w:tc>
          <w:tcPr>
            <w:tcW w:w="4070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-</w:t>
            </w:r>
          </w:p>
        </w:tc>
        <w:tc>
          <w:tcPr>
            <w:tcW w:w="301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-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-</w:t>
            </w:r>
          </w:p>
        </w:tc>
      </w:tr>
      <w:tr w:rsidR="00367967" w:rsidRPr="00FC7BDA" w:rsidTr="00BD3493">
        <w:tc>
          <w:tcPr>
            <w:tcW w:w="15984" w:type="dxa"/>
            <w:gridSpan w:val="6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3. Фискальные характеристики налогового расхода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Коломыцевского сельского поселения</w:t>
            </w:r>
          </w:p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3.1.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 рублей)</w:t>
            </w:r>
          </w:p>
        </w:tc>
        <w:tc>
          <w:tcPr>
            <w:tcW w:w="1823" w:type="dxa"/>
          </w:tcPr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  <w:r w:rsidRPr="00FC7BDA"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2018 г. – 36 тыс.руб.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2019 г. – 35 тыс.руб.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2020 г. – 24 тыс.руб.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2021 г. – 22 тыс.руб.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 xml:space="preserve">  2018 г. – 0,2 т.р.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 xml:space="preserve">  2019 г. – 0,2 т.р.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2020 г. – 0 т.р.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2021 г. – 0 т.р.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3.2.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 xml:space="preserve">Оценка объема представленных налоговых льгот, освобождений и иных преференций для </w:t>
            </w:r>
            <w:r w:rsidRPr="00FC7BDA">
              <w:lastRenderedPageBreak/>
              <w:t>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  <w:r w:rsidRPr="00FC7BDA">
              <w:lastRenderedPageBreak/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lastRenderedPageBreak/>
              <w:t>3.3.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2018 г. – 115 чел.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2019 г. – 116 чел.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  <w:r w:rsidRPr="00FC7BDA">
              <w:t xml:space="preserve">                                           2020 г. – 80 чел.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  <w:r w:rsidRPr="00FC7BDA">
              <w:t xml:space="preserve">                                           2021 г. – 70 чел.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2018 г. – 1 ю.л.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2019 г. – 1 ю.л.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2020 г. – 1 ю.л.</w:t>
            </w:r>
          </w:p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2021 г. – 1 ю.л.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3.4.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Базовый объем налогов, задекларированный для уплаты в бюджет Коломыцевского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0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0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3.5.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both"/>
              <w:textAlignment w:val="baseline"/>
            </w:pPr>
            <w:r w:rsidRPr="00FC7BDA">
              <w:t>Объем налогов, задекларированный для уплаты в бюджет Коломыцевского сельского поселения налогоплательщиками, имеющими право на налоговые льготы, за 6 лет, предшествующих отчетному финансовому году (тыс.рублей)</w:t>
            </w:r>
          </w:p>
        </w:tc>
        <w:tc>
          <w:tcPr>
            <w:tcW w:w="1823" w:type="dxa"/>
          </w:tcPr>
          <w:p w:rsidR="00367967" w:rsidRPr="00FC7BDA" w:rsidRDefault="00367967" w:rsidP="00BD3493">
            <w:r w:rsidRPr="00FC7BDA"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0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0</w:t>
            </w:r>
          </w:p>
        </w:tc>
      </w:tr>
      <w:tr w:rsidR="00367967" w:rsidRPr="00FC7BDA" w:rsidTr="00BD3493">
        <w:tc>
          <w:tcPr>
            <w:tcW w:w="606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3.6.</w:t>
            </w:r>
          </w:p>
        </w:tc>
        <w:tc>
          <w:tcPr>
            <w:tcW w:w="3783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Результат оценки эффективности налогового расхода</w:t>
            </w:r>
          </w:p>
        </w:tc>
        <w:tc>
          <w:tcPr>
            <w:tcW w:w="1823" w:type="dxa"/>
          </w:tcPr>
          <w:p w:rsidR="00367967" w:rsidRPr="00FC7BDA" w:rsidRDefault="00367967" w:rsidP="00BD3493">
            <w:pPr>
              <w:tabs>
                <w:tab w:val="left" w:pos="4305"/>
              </w:tabs>
              <w:textAlignment w:val="baseline"/>
            </w:pPr>
            <w:r w:rsidRPr="00FC7BDA"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эффективен</w:t>
            </w:r>
          </w:p>
        </w:tc>
        <w:tc>
          <w:tcPr>
            <w:tcW w:w="2689" w:type="dxa"/>
          </w:tcPr>
          <w:p w:rsidR="00367967" w:rsidRPr="00FC7BDA" w:rsidRDefault="00367967" w:rsidP="00BD3493">
            <w:pPr>
              <w:tabs>
                <w:tab w:val="left" w:pos="4305"/>
              </w:tabs>
              <w:jc w:val="center"/>
              <w:textAlignment w:val="baseline"/>
            </w:pPr>
            <w:r w:rsidRPr="00FC7BDA">
              <w:t>эффективен</w:t>
            </w:r>
          </w:p>
        </w:tc>
      </w:tr>
    </w:tbl>
    <w:p w:rsidR="00367967" w:rsidRPr="00FC7BDA" w:rsidRDefault="00367967" w:rsidP="00367967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367967" w:rsidRPr="00FC7BDA" w:rsidRDefault="00367967" w:rsidP="00367967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B62F46" w:rsidRDefault="00B62F46">
      <w:bookmarkStart w:id="0" w:name="_GoBack"/>
      <w:bookmarkEnd w:id="0"/>
    </w:p>
    <w:sectPr w:rsidR="00B62F46" w:rsidSect="00E71F73">
      <w:headerReference w:type="default" r:id="rId4"/>
      <w:pgSz w:w="16834" w:h="11909" w:orient="landscape"/>
      <w:pgMar w:top="1134" w:right="567" w:bottom="851" w:left="567" w:header="142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57" w:rsidRDefault="00367967">
    <w:pPr>
      <w:pStyle w:val="a3"/>
      <w:jc w:val="center"/>
    </w:pPr>
  </w:p>
  <w:p w:rsidR="00C35457" w:rsidRDefault="00367967">
    <w:pPr>
      <w:pStyle w:val="a3"/>
      <w:jc w:val="center"/>
    </w:pPr>
  </w:p>
  <w:p w:rsidR="00CB032E" w:rsidRDefault="003679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B032E" w:rsidRDefault="00367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67"/>
    <w:rsid w:val="00367967"/>
    <w:rsid w:val="00B6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3A81-51FE-4B3E-BE8B-FF33F6B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7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9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67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2023-05-26T11:32:00Z</dcterms:created>
  <dcterms:modified xsi:type="dcterms:W3CDTF">2023-05-26T11:33:00Z</dcterms:modified>
</cp:coreProperties>
</file>